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14A" w:rsidRPr="006E7E0A" w:rsidRDefault="00A5514A" w:rsidP="00A5514A">
      <w:pPr>
        <w:spacing w:line="360" w:lineRule="auto"/>
        <w:jc w:val="center"/>
        <w:rPr>
          <w:rFonts w:ascii="Times New Roman" w:hAnsi="Times New Roman" w:cs="Times New Roman"/>
          <w:b/>
          <w:bCs/>
          <w:sz w:val="24"/>
          <w:szCs w:val="24"/>
        </w:rPr>
      </w:pPr>
      <w:r w:rsidRPr="006E7E0A">
        <w:rPr>
          <w:rFonts w:ascii="Times New Roman" w:hAnsi="Times New Roman" w:cs="Times New Roman"/>
          <w:b/>
          <w:bCs/>
          <w:sz w:val="24"/>
          <w:szCs w:val="24"/>
        </w:rPr>
        <w:t>ANNEXE</w:t>
      </w:r>
      <w:r w:rsidR="00D8104A">
        <w:rPr>
          <w:rFonts w:ascii="Times New Roman" w:hAnsi="Times New Roman" w:cs="Times New Roman"/>
          <w:b/>
          <w:bCs/>
          <w:sz w:val="24"/>
          <w:szCs w:val="24"/>
        </w:rPr>
        <w:t xml:space="preserve"> </w:t>
      </w:r>
      <w:r w:rsidRPr="006E7E0A">
        <w:rPr>
          <w:rFonts w:ascii="Times New Roman" w:hAnsi="Times New Roman" w:cs="Times New Roman"/>
          <w:b/>
          <w:bCs/>
          <w:sz w:val="24"/>
          <w:szCs w:val="24"/>
        </w:rPr>
        <w:t>1</w:t>
      </w:r>
    </w:p>
    <w:p w:rsidR="00A5514A" w:rsidRPr="006E7E0A" w:rsidRDefault="00D8104A" w:rsidP="00A5514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LES COURBES D’É</w:t>
      </w:r>
      <w:r w:rsidR="00A5514A" w:rsidRPr="006E7E0A">
        <w:rPr>
          <w:rFonts w:ascii="Times New Roman" w:hAnsi="Times New Roman" w:cs="Times New Roman"/>
          <w:b/>
          <w:bCs/>
          <w:sz w:val="24"/>
          <w:szCs w:val="24"/>
        </w:rPr>
        <w:t>TALONNAGE</w:t>
      </w:r>
    </w:p>
    <w:p w:rsidR="00A5514A" w:rsidRPr="006E7E0A" w:rsidRDefault="00A5514A" w:rsidP="00A5514A">
      <w:pPr>
        <w:spacing w:line="360" w:lineRule="auto"/>
        <w:jc w:val="both"/>
        <w:rPr>
          <w:rFonts w:ascii="Times New Roman" w:hAnsi="Times New Roman" w:cs="Times New Roman"/>
          <w:b/>
          <w:bCs/>
          <w:sz w:val="24"/>
          <w:szCs w:val="24"/>
        </w:rPr>
      </w:pPr>
    </w:p>
    <w:p w:rsidR="00A5514A" w:rsidRPr="006E7E0A" w:rsidRDefault="00A5514A" w:rsidP="00A5514A">
      <w:pPr>
        <w:spacing w:line="360" w:lineRule="auto"/>
        <w:jc w:val="both"/>
        <w:rPr>
          <w:rFonts w:ascii="Times New Roman" w:hAnsi="Times New Roman" w:cs="Times New Roman"/>
          <w:b/>
          <w:bCs/>
          <w:sz w:val="24"/>
          <w:szCs w:val="24"/>
          <w:u w:val="single"/>
        </w:rPr>
      </w:pPr>
      <w:r w:rsidRPr="006E7E0A">
        <w:rPr>
          <w:rFonts w:ascii="Times New Roman" w:hAnsi="Times New Roman" w:cs="Times New Roman"/>
          <w:b/>
          <w:bCs/>
          <w:sz w:val="24"/>
          <w:szCs w:val="24"/>
          <w:u w:val="single"/>
        </w:rPr>
        <w:t>Préparation de la courbe d’étalon du proline</w:t>
      </w:r>
    </w:p>
    <w:p w:rsidR="00A5514A" w:rsidRPr="006E7E0A" w:rsidRDefault="00A5514A" w:rsidP="00A5514A">
      <w:pPr>
        <w:spacing w:line="360" w:lineRule="auto"/>
        <w:jc w:val="both"/>
        <w:rPr>
          <w:rFonts w:ascii="Times New Roman" w:hAnsi="Times New Roman" w:cs="Times New Roman"/>
          <w:b/>
          <w:bCs/>
          <w:sz w:val="24"/>
          <w:szCs w:val="24"/>
          <w:u w:val="single"/>
        </w:rPr>
      </w:pPr>
      <w:r w:rsidRPr="006E7E0A">
        <w:rPr>
          <w:rFonts w:ascii="Times New Roman" w:hAnsi="Times New Roman" w:cs="Times New Roman"/>
          <w:b/>
          <w:bCs/>
          <w:sz w:val="24"/>
          <w:szCs w:val="24"/>
          <w:u w:val="single"/>
        </w:rPr>
        <w:t>Préparation de la solution mère de proline S1</w:t>
      </w:r>
    </w:p>
    <w:p w:rsidR="00A5514A" w:rsidRPr="006E7E0A" w:rsidRDefault="00A5514A" w:rsidP="00A5514A">
      <w:pPr>
        <w:spacing w:line="360" w:lineRule="auto"/>
        <w:ind w:firstLine="720"/>
        <w:jc w:val="both"/>
        <w:rPr>
          <w:rFonts w:ascii="Times New Roman" w:hAnsi="Times New Roman" w:cs="Times New Roman"/>
          <w:sz w:val="24"/>
          <w:szCs w:val="24"/>
        </w:rPr>
      </w:pPr>
      <w:r w:rsidRPr="006E7E0A">
        <w:rPr>
          <w:rFonts w:ascii="Times New Roman" w:hAnsi="Times New Roman" w:cs="Times New Roman"/>
          <w:sz w:val="24"/>
          <w:szCs w:val="24"/>
        </w:rPr>
        <w:t>20mg de proline sont mis dans une fiole jaugée de 100 ml sur lequel on verse du méthanol à 40% jusqu'à atteindre 100ml.</w:t>
      </w:r>
    </w:p>
    <w:p w:rsidR="00A5514A" w:rsidRPr="006E7E0A" w:rsidRDefault="00A5514A" w:rsidP="00A5514A">
      <w:pPr>
        <w:spacing w:line="360" w:lineRule="auto"/>
        <w:jc w:val="both"/>
        <w:rPr>
          <w:rFonts w:ascii="Times New Roman" w:hAnsi="Times New Roman" w:cs="Times New Roman"/>
          <w:b/>
          <w:bCs/>
          <w:sz w:val="24"/>
          <w:szCs w:val="24"/>
          <w:u w:val="single"/>
        </w:rPr>
      </w:pPr>
      <w:r w:rsidRPr="006E7E0A">
        <w:rPr>
          <w:rFonts w:ascii="Times New Roman" w:hAnsi="Times New Roman" w:cs="Times New Roman"/>
          <w:b/>
          <w:bCs/>
          <w:sz w:val="24"/>
          <w:szCs w:val="24"/>
          <w:u w:val="single"/>
        </w:rPr>
        <w:t>Préparation de la solution mère de proline S2</w:t>
      </w:r>
    </w:p>
    <w:p w:rsidR="00A5514A" w:rsidRPr="006E7E0A" w:rsidRDefault="00A5514A" w:rsidP="00A5514A">
      <w:pPr>
        <w:spacing w:line="360" w:lineRule="auto"/>
        <w:ind w:firstLine="720"/>
        <w:jc w:val="both"/>
        <w:rPr>
          <w:rFonts w:ascii="Times New Roman" w:hAnsi="Times New Roman" w:cs="Times New Roman"/>
          <w:sz w:val="24"/>
          <w:szCs w:val="24"/>
        </w:rPr>
      </w:pPr>
      <w:r w:rsidRPr="006E7E0A">
        <w:rPr>
          <w:rFonts w:ascii="Times New Roman" w:hAnsi="Times New Roman" w:cs="Times New Roman"/>
          <w:sz w:val="24"/>
          <w:szCs w:val="24"/>
        </w:rPr>
        <w:t>10ml de la solution mère S1 est porté dans une nouvelle fiole jaugée de 100ml, on ajuste à 100 ml avec du méthanol 40%, on Obtient une solution S2 de 20µg/ml de proline.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10 fioles jaugées de capacité 10 ml sont prises et numérotées de1à10.</w:t>
      </w:r>
    </w:p>
    <w:p w:rsidR="00A5514A" w:rsidRPr="006E7E0A" w:rsidRDefault="00A5514A" w:rsidP="00A5514A">
      <w:pPr>
        <w:spacing w:line="360" w:lineRule="auto"/>
        <w:ind w:firstLine="720"/>
        <w:jc w:val="both"/>
        <w:rPr>
          <w:rFonts w:ascii="Times New Roman" w:hAnsi="Times New Roman" w:cs="Times New Roman"/>
          <w:sz w:val="24"/>
          <w:szCs w:val="24"/>
        </w:rPr>
      </w:pPr>
      <w:r w:rsidRPr="006E7E0A">
        <w:rPr>
          <w:rFonts w:ascii="Times New Roman" w:hAnsi="Times New Roman" w:cs="Times New Roman"/>
          <w:sz w:val="24"/>
          <w:szCs w:val="24"/>
        </w:rPr>
        <w:t>On porte dans chacune d’elle 1à10ml de la solution S2, puis chacune est ajustée à 10ml avec du méthanol 40%.</w:t>
      </w:r>
    </w:p>
    <w:p w:rsidR="00A5514A" w:rsidRPr="006E7E0A" w:rsidRDefault="00A5514A" w:rsidP="00A5514A">
      <w:pPr>
        <w:spacing w:line="360" w:lineRule="auto"/>
        <w:ind w:firstLine="720"/>
        <w:jc w:val="both"/>
        <w:rPr>
          <w:rFonts w:ascii="Times New Roman" w:hAnsi="Times New Roman" w:cs="Times New Roman"/>
          <w:sz w:val="24"/>
          <w:szCs w:val="24"/>
        </w:rPr>
      </w:pPr>
      <w:r w:rsidRPr="006E7E0A">
        <w:rPr>
          <w:rFonts w:ascii="Times New Roman" w:hAnsi="Times New Roman" w:cs="Times New Roman"/>
          <w:sz w:val="24"/>
          <w:szCs w:val="24"/>
        </w:rPr>
        <w:t>Ensuite 11tubes à essai sont numérotés de T0 à T10 dont chacun contiendra : T0=1ml du méthanol 40% qui servira à faire le zéro à la lecture de la DO.</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T1=1ml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1, soit 2µg de proline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T2=1ml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2, soit 4µg de proline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T3=1ml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3, soit 6µg de proline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T4=1ml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4, soit 8µg de proline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T5=1ml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5, soit 10µg de proline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T6=1ml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6, soit 12µg de proline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T7=1ml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7, soit 14µg de proline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T8=1ml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8, soit 16µg de proline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T9=1ml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9, soit 18µg de proline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lastRenderedPageBreak/>
        <w:t>T10=1ml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10, soit 20µg de proline</w:t>
      </w:r>
    </w:p>
    <w:p w:rsidR="00A5514A" w:rsidRPr="00A5514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noProof/>
          <w:sz w:val="24"/>
          <w:szCs w:val="24"/>
          <w:lang w:eastAsia="fr-FR"/>
        </w:rPr>
        <w:drawing>
          <wp:inline distT="0" distB="0" distL="0" distR="0">
            <wp:extent cx="5274310" cy="3207988"/>
            <wp:effectExtent l="19050" t="0" r="21590" b="0"/>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rsidR="00A5514A" w:rsidRPr="006E7E0A" w:rsidRDefault="00A5514A" w:rsidP="00A5514A">
      <w:pPr>
        <w:spacing w:line="360" w:lineRule="auto"/>
        <w:jc w:val="both"/>
        <w:rPr>
          <w:rFonts w:ascii="Times New Roman" w:hAnsi="Times New Roman" w:cs="Times New Roman"/>
          <w:b/>
          <w:bCs/>
          <w:sz w:val="24"/>
          <w:szCs w:val="24"/>
          <w:u w:val="single"/>
        </w:rPr>
      </w:pPr>
      <w:r w:rsidRPr="006E7E0A">
        <w:rPr>
          <w:rFonts w:ascii="Times New Roman" w:hAnsi="Times New Roman" w:cs="Times New Roman"/>
          <w:b/>
          <w:bCs/>
          <w:sz w:val="24"/>
          <w:szCs w:val="24"/>
          <w:u w:val="single"/>
        </w:rPr>
        <w:t>Préparation de la courbe d’étalon des sucres totaux</w:t>
      </w:r>
    </w:p>
    <w:p w:rsidR="00A5514A" w:rsidRPr="006E7E0A" w:rsidRDefault="00A5514A" w:rsidP="00A5514A">
      <w:pPr>
        <w:spacing w:line="360" w:lineRule="auto"/>
        <w:jc w:val="both"/>
        <w:rPr>
          <w:rFonts w:ascii="Times New Roman" w:hAnsi="Times New Roman" w:cs="Times New Roman"/>
          <w:b/>
          <w:bCs/>
          <w:sz w:val="24"/>
          <w:szCs w:val="24"/>
          <w:u w:val="single"/>
        </w:rPr>
      </w:pPr>
      <w:r w:rsidRPr="006E7E0A">
        <w:rPr>
          <w:rFonts w:ascii="Times New Roman" w:hAnsi="Times New Roman" w:cs="Times New Roman"/>
          <w:b/>
          <w:bCs/>
          <w:sz w:val="24"/>
          <w:szCs w:val="24"/>
          <w:u w:val="single"/>
        </w:rPr>
        <w:t>Préparation de la solution mère de proline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100mg de glucose sont porté dans une fiole jaugée de 100ml compléter à 100ml avec de l’éthanol  80% c’est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Ensuite on prélève 10ml de la solution S1 qu’on porte dans une fiole jaugée compléter à 100ml avec de l’éthanol 80%, on obtient une solution mère S2 de concentration en glucose égale à 100mg/ml</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10 fiole jaugées de capacité 10ml sont prises et numérotées de 1à 10, dans lesquelles on met respectivement de 1ml à10ml (à l’aide d’une pipette de 10 ml) puis ajustées avec de l’éthanol à 80%</w:t>
      </w:r>
    </w:p>
    <w:p w:rsidR="00A5514A" w:rsidRPr="006E7E0A" w:rsidRDefault="00A5514A" w:rsidP="00A5514A">
      <w:pPr>
        <w:tabs>
          <w:tab w:val="left" w:pos="709"/>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6E7E0A">
        <w:rPr>
          <w:rFonts w:ascii="Times New Roman" w:hAnsi="Times New Roman" w:cs="Times New Roman"/>
          <w:sz w:val="24"/>
          <w:szCs w:val="24"/>
        </w:rPr>
        <w:t>11 tubes à essai sont pris et numérotés de T0 à T10</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T0 contient 2ml éthanol 80% qui servira à faire le zéro à la lecture de la DO.</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T1=2ml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1, soit 10µg de glucose</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T2=2ml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2, soit 20µg de glucose</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T3=2ml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3, soit 30µg de glucose</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lastRenderedPageBreak/>
        <w:t>T4=2ml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4, soit 40µg de glucose</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T5=2ml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5, soit 50µg de glucose</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T6=2ml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6, soit 60µg de glucose</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T7=2ml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7, soit 70µg de glucose</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T8=2ml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8, soit 80µg de glucose</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T9=2ml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9, soit 90µg de glucose</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T10=2ml prélevé de la fiole n</w:t>
      </w:r>
      <w:r w:rsidRPr="006E7E0A">
        <w:rPr>
          <w:rFonts w:ascii="Times New Roman" w:hAnsi="Times New Roman" w:cs="Times New Roman"/>
          <w:sz w:val="24"/>
          <w:szCs w:val="24"/>
          <w:vertAlign w:val="superscript"/>
        </w:rPr>
        <w:t>°</w:t>
      </w:r>
      <w:r w:rsidRPr="006E7E0A">
        <w:rPr>
          <w:rFonts w:ascii="Times New Roman" w:hAnsi="Times New Roman" w:cs="Times New Roman"/>
          <w:sz w:val="24"/>
          <w:szCs w:val="24"/>
        </w:rPr>
        <w:t>10, soit 100µg de glucose</w:t>
      </w:r>
    </w:p>
    <w:p w:rsidR="00A5514A" w:rsidRPr="006E7E0A" w:rsidRDefault="00A5514A" w:rsidP="00A5514A">
      <w:pPr>
        <w:spacing w:line="360" w:lineRule="auto"/>
        <w:jc w:val="both"/>
        <w:rPr>
          <w:rFonts w:ascii="Times New Roman" w:hAnsi="Times New Roman" w:cs="Times New Roman"/>
          <w:sz w:val="24"/>
          <w:szCs w:val="24"/>
        </w:rPr>
      </w:pPr>
      <w:r w:rsidRPr="006E7E0A">
        <w:rPr>
          <w:rFonts w:ascii="Times New Roman" w:hAnsi="Times New Roman" w:cs="Times New Roman"/>
          <w:noProof/>
          <w:sz w:val="24"/>
          <w:szCs w:val="24"/>
          <w:lang w:eastAsia="fr-FR"/>
        </w:rPr>
        <w:drawing>
          <wp:inline distT="0" distB="0" distL="0" distR="0">
            <wp:extent cx="5274310" cy="3152560"/>
            <wp:effectExtent l="19050" t="0" r="21590" b="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A5514A" w:rsidRPr="006E7E0A" w:rsidRDefault="00A5514A" w:rsidP="00A5514A">
      <w:pPr>
        <w:spacing w:line="360" w:lineRule="auto"/>
        <w:jc w:val="both"/>
        <w:rPr>
          <w:rFonts w:ascii="Times New Roman" w:hAnsi="Times New Roman" w:cs="Times New Roman"/>
          <w:b/>
          <w:bCs/>
          <w:sz w:val="24"/>
          <w:szCs w:val="24"/>
          <w:u w:val="single"/>
        </w:rPr>
      </w:pPr>
      <w:r w:rsidRPr="006E7E0A">
        <w:rPr>
          <w:rFonts w:ascii="Times New Roman" w:hAnsi="Times New Roman" w:cs="Times New Roman"/>
          <w:b/>
          <w:bCs/>
          <w:sz w:val="24"/>
          <w:szCs w:val="24"/>
          <w:u w:val="single"/>
        </w:rPr>
        <w:t>Préparation de la courbe d’étalon du potassium</w:t>
      </w:r>
    </w:p>
    <w:p w:rsidR="00A5514A" w:rsidRPr="006E7E0A" w:rsidRDefault="00A5514A" w:rsidP="00A5514A">
      <w:pPr>
        <w:spacing w:line="360" w:lineRule="auto"/>
        <w:jc w:val="both"/>
        <w:rPr>
          <w:rFonts w:ascii="Times New Roman" w:hAnsi="Times New Roman" w:cs="Times New Roman"/>
          <w:b/>
          <w:bCs/>
          <w:sz w:val="24"/>
          <w:szCs w:val="24"/>
          <w:u w:val="single"/>
        </w:rPr>
      </w:pPr>
      <w:r w:rsidRPr="006E7E0A">
        <w:rPr>
          <w:rFonts w:ascii="Times New Roman" w:hAnsi="Times New Roman" w:cs="Times New Roman"/>
          <w:b/>
          <w:bCs/>
          <w:sz w:val="24"/>
          <w:szCs w:val="24"/>
          <w:u w:val="single"/>
        </w:rPr>
        <w:t>Préparation de la solution mère du potassium S1</w:t>
      </w:r>
    </w:p>
    <w:p w:rsidR="00A5514A" w:rsidRPr="006E7E0A" w:rsidRDefault="00A5514A" w:rsidP="003D1E1C">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La solution mère S1 est portée dans une fiole jaugée de 1000 ml, on ajuste à 1000 ml avec d</w:t>
      </w:r>
      <w:r w:rsidR="003D1E1C">
        <w:rPr>
          <w:rFonts w:ascii="Times New Roman" w:hAnsi="Times New Roman" w:cs="Times New Roman"/>
          <w:sz w:val="24"/>
          <w:szCs w:val="24"/>
        </w:rPr>
        <w:t>e</w:t>
      </w:r>
      <w:r w:rsidRPr="006E7E0A">
        <w:rPr>
          <w:rFonts w:ascii="Times New Roman" w:hAnsi="Times New Roman" w:cs="Times New Roman"/>
          <w:sz w:val="24"/>
          <w:szCs w:val="24"/>
        </w:rPr>
        <w:t xml:space="preserve"> l’eau distillée, ensuite on fait dissoudre 0,191g de potassium sous forme de poudre on obtient une solution S1 de 0,191g/l de potassium.</w:t>
      </w:r>
    </w:p>
    <w:p w:rsidR="00A5514A" w:rsidRPr="006E7E0A" w:rsidRDefault="00A5514A" w:rsidP="00A5514A">
      <w:pPr>
        <w:spacing w:line="360" w:lineRule="auto"/>
        <w:jc w:val="both"/>
        <w:rPr>
          <w:rFonts w:ascii="Times New Roman" w:hAnsi="Times New Roman" w:cs="Times New Roman"/>
          <w:b/>
          <w:bCs/>
          <w:sz w:val="24"/>
          <w:szCs w:val="24"/>
          <w:u w:val="single"/>
        </w:rPr>
      </w:pPr>
      <w:r w:rsidRPr="006E7E0A">
        <w:rPr>
          <w:rFonts w:ascii="Times New Roman" w:hAnsi="Times New Roman" w:cs="Times New Roman"/>
          <w:b/>
          <w:bCs/>
          <w:sz w:val="24"/>
          <w:szCs w:val="24"/>
          <w:u w:val="single"/>
        </w:rPr>
        <w:t>Préparation des solutions filles du potassium S2</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06 fioles jaugées de capacité 100 ml sont prises et numérotées de1à06.</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On porte dans chacune d’elle :</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lastRenderedPageBreak/>
        <w:t>05ml de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10 ml de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20 ml de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40 ml de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60 ml de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80 ml de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 xml:space="preserve"> Puis chacune est ajustée à 100ml avec du l’eau distillée</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Une fiole jaugée de capacité de 100ml ajustée  jusqu'à 100ml avec de l’eau distillée qui servira à faire le zéro à la lecture de la DO.</w:t>
      </w:r>
    </w:p>
    <w:p w:rsidR="00A5514A" w:rsidRPr="006E7E0A" w:rsidRDefault="00A5514A" w:rsidP="00A5514A">
      <w:pPr>
        <w:spacing w:line="360" w:lineRule="auto"/>
        <w:jc w:val="center"/>
        <w:rPr>
          <w:rFonts w:ascii="Times New Roman" w:hAnsi="Times New Roman" w:cs="Times New Roman"/>
          <w:sz w:val="24"/>
          <w:szCs w:val="24"/>
        </w:rPr>
      </w:pPr>
      <w:r w:rsidRPr="006E7E0A">
        <w:rPr>
          <w:rFonts w:ascii="Times New Roman" w:hAnsi="Times New Roman" w:cs="Times New Roman"/>
          <w:noProof/>
          <w:sz w:val="24"/>
          <w:szCs w:val="24"/>
          <w:lang w:eastAsia="fr-FR"/>
        </w:rPr>
        <w:drawing>
          <wp:inline distT="0" distB="0" distL="0" distR="0">
            <wp:extent cx="4572000" cy="2743200"/>
            <wp:effectExtent l="19050" t="0" r="19050" b="0"/>
            <wp:docPr id="4"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A5514A" w:rsidRPr="006E7E0A" w:rsidRDefault="00A5514A" w:rsidP="00A5514A">
      <w:pPr>
        <w:spacing w:line="360" w:lineRule="auto"/>
        <w:jc w:val="both"/>
        <w:rPr>
          <w:rFonts w:ascii="Times New Roman" w:hAnsi="Times New Roman" w:cs="Times New Roman"/>
          <w:b/>
          <w:bCs/>
          <w:sz w:val="24"/>
          <w:szCs w:val="24"/>
          <w:u w:val="single"/>
        </w:rPr>
      </w:pPr>
      <w:r w:rsidRPr="006E7E0A">
        <w:rPr>
          <w:rFonts w:ascii="Times New Roman" w:hAnsi="Times New Roman" w:cs="Times New Roman"/>
          <w:b/>
          <w:bCs/>
          <w:sz w:val="24"/>
          <w:szCs w:val="24"/>
          <w:u w:val="single"/>
        </w:rPr>
        <w:t>Préparation de la courbe d’étalon du sodium</w:t>
      </w:r>
    </w:p>
    <w:p w:rsidR="00A5514A" w:rsidRPr="006E7E0A" w:rsidRDefault="00A5514A" w:rsidP="00A5514A">
      <w:pPr>
        <w:spacing w:line="360" w:lineRule="auto"/>
        <w:jc w:val="both"/>
        <w:rPr>
          <w:rFonts w:ascii="Times New Roman" w:hAnsi="Times New Roman" w:cs="Times New Roman"/>
          <w:b/>
          <w:bCs/>
          <w:sz w:val="24"/>
          <w:szCs w:val="24"/>
          <w:u w:val="single"/>
        </w:rPr>
      </w:pPr>
      <w:r w:rsidRPr="006E7E0A">
        <w:rPr>
          <w:rFonts w:ascii="Times New Roman" w:hAnsi="Times New Roman" w:cs="Times New Roman"/>
          <w:b/>
          <w:bCs/>
          <w:sz w:val="24"/>
          <w:szCs w:val="24"/>
          <w:u w:val="single"/>
        </w:rPr>
        <w:t>Préparation de la solution mère du sodium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La solution mère S1 est portée dans une fiole jaugée de 1000 ml, on ajuste à 1000 ml avec du l’eau distillée, ensuite on fait dissoudre 0,243g de sodium sous forme de poudre on obtient une solution S1 de 0,243g/l de potassium.</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b/>
          <w:bCs/>
          <w:sz w:val="24"/>
          <w:szCs w:val="24"/>
          <w:u w:val="single"/>
        </w:rPr>
        <w:t>Préparation des solutions filles du sodium S2</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06 fioles jaugées de capacité 100 ml sont prises et numérotées de1à06.</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lastRenderedPageBreak/>
        <w:t>On porte dans chacune d’elle :</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05ml de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10 ml de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20 ml de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40 ml de la solution S1</w:t>
      </w:r>
    </w:p>
    <w:p w:rsidR="00A5514A" w:rsidRPr="006E7E0A" w:rsidRDefault="00A5514A" w:rsidP="00A5514A">
      <w:pPr>
        <w:spacing w:line="360" w:lineRule="auto"/>
        <w:ind w:firstLine="708"/>
        <w:jc w:val="both"/>
        <w:rPr>
          <w:rFonts w:ascii="Times New Roman" w:hAnsi="Times New Roman" w:cs="Times New Roman"/>
          <w:sz w:val="24"/>
          <w:szCs w:val="24"/>
        </w:rPr>
      </w:pPr>
      <w:r w:rsidRPr="006E7E0A">
        <w:rPr>
          <w:rFonts w:ascii="Times New Roman" w:hAnsi="Times New Roman" w:cs="Times New Roman"/>
          <w:sz w:val="24"/>
          <w:szCs w:val="24"/>
        </w:rPr>
        <w:t>60 ml de la solution S1</w:t>
      </w:r>
    </w:p>
    <w:p w:rsidR="00A5514A" w:rsidRPr="006E7E0A" w:rsidRDefault="00A5514A" w:rsidP="00A5514A">
      <w:pPr>
        <w:tabs>
          <w:tab w:val="left" w:pos="5910"/>
        </w:tabs>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80 ml de la solution S1</w:t>
      </w:r>
      <w:r w:rsidRPr="006E7E0A">
        <w:rPr>
          <w:rFonts w:ascii="Times New Roman" w:hAnsi="Times New Roman" w:cs="Times New Roman"/>
          <w:sz w:val="24"/>
          <w:szCs w:val="24"/>
        </w:rPr>
        <w:tab/>
      </w:r>
    </w:p>
    <w:p w:rsidR="00A5514A" w:rsidRPr="006E7E0A" w:rsidRDefault="00A5514A" w:rsidP="00A5514A">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6E7E0A">
        <w:rPr>
          <w:rFonts w:ascii="Times New Roman" w:hAnsi="Times New Roman" w:cs="Times New Roman"/>
          <w:sz w:val="24"/>
          <w:szCs w:val="24"/>
        </w:rPr>
        <w:t>Puis chacune est ajustée à 100ml avec du l’eau distillée</w:t>
      </w:r>
    </w:p>
    <w:p w:rsidR="00A5514A" w:rsidRPr="006E7E0A" w:rsidRDefault="00A5514A" w:rsidP="00A5514A">
      <w:pPr>
        <w:tabs>
          <w:tab w:val="left" w:pos="709"/>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6E7E0A">
        <w:rPr>
          <w:rFonts w:ascii="Times New Roman" w:hAnsi="Times New Roman" w:cs="Times New Roman"/>
          <w:sz w:val="24"/>
          <w:szCs w:val="24"/>
        </w:rPr>
        <w:t>Une fiole jaugée de capacité de 100ml ajustée  jusqu'à 100ml avec de l’eau distillée qui servira à faire le zéro à la lecture de la DO</w:t>
      </w:r>
    </w:p>
    <w:p w:rsidR="00A5514A" w:rsidRPr="006E7E0A" w:rsidRDefault="00A5514A" w:rsidP="00A5514A">
      <w:pPr>
        <w:tabs>
          <w:tab w:val="left" w:pos="709"/>
        </w:tabs>
        <w:spacing w:line="360" w:lineRule="auto"/>
        <w:jc w:val="center"/>
        <w:rPr>
          <w:rFonts w:ascii="Times New Roman" w:hAnsi="Times New Roman" w:cs="Times New Roman"/>
          <w:sz w:val="24"/>
          <w:szCs w:val="24"/>
        </w:rPr>
      </w:pPr>
      <w:r w:rsidRPr="006E7E0A">
        <w:rPr>
          <w:rFonts w:ascii="Times New Roman" w:hAnsi="Times New Roman" w:cs="Times New Roman"/>
          <w:noProof/>
          <w:sz w:val="24"/>
          <w:szCs w:val="24"/>
          <w:lang w:eastAsia="fr-FR"/>
        </w:rPr>
        <w:drawing>
          <wp:inline distT="0" distB="0" distL="0" distR="0">
            <wp:extent cx="4572000" cy="2743200"/>
            <wp:effectExtent l="19050" t="0" r="19050" b="0"/>
            <wp:docPr id="3"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5514A" w:rsidRPr="006E7E0A" w:rsidRDefault="00A5514A" w:rsidP="00A5514A">
      <w:pPr>
        <w:spacing w:line="360" w:lineRule="auto"/>
        <w:jc w:val="center"/>
        <w:rPr>
          <w:rFonts w:ascii="Times New Roman" w:hAnsi="Times New Roman" w:cs="Times New Roman"/>
          <w:sz w:val="24"/>
          <w:szCs w:val="24"/>
        </w:rPr>
      </w:pPr>
    </w:p>
    <w:p w:rsidR="00A5514A" w:rsidRPr="006E7E0A" w:rsidRDefault="00A5514A" w:rsidP="004247F3">
      <w:pPr>
        <w:tabs>
          <w:tab w:val="left" w:pos="709"/>
        </w:tabs>
        <w:spacing w:line="360" w:lineRule="auto"/>
        <w:jc w:val="both"/>
        <w:rPr>
          <w:rFonts w:ascii="Times New Roman" w:hAnsi="Times New Roman" w:cs="Times New Roman"/>
          <w:sz w:val="24"/>
          <w:szCs w:val="24"/>
        </w:rPr>
      </w:pPr>
      <w:r w:rsidRPr="006E7E0A">
        <w:rPr>
          <w:rFonts w:ascii="Times New Roman" w:hAnsi="Times New Roman" w:cs="Times New Roman"/>
          <w:sz w:val="24"/>
          <w:szCs w:val="24"/>
        </w:rPr>
        <w:tab/>
      </w:r>
    </w:p>
    <w:p w:rsidR="00A5514A" w:rsidRPr="006E7E0A" w:rsidRDefault="00A5514A" w:rsidP="00A5514A">
      <w:pPr>
        <w:tabs>
          <w:tab w:val="left" w:pos="709"/>
        </w:tabs>
        <w:spacing w:line="360" w:lineRule="auto"/>
        <w:jc w:val="center"/>
        <w:rPr>
          <w:rFonts w:ascii="Times New Roman" w:hAnsi="Times New Roman" w:cs="Times New Roman"/>
          <w:sz w:val="24"/>
          <w:szCs w:val="24"/>
        </w:rPr>
      </w:pPr>
    </w:p>
    <w:p w:rsidR="00A5514A" w:rsidRPr="006E7E0A" w:rsidRDefault="00A5514A" w:rsidP="00A5514A">
      <w:pPr>
        <w:spacing w:line="360" w:lineRule="auto"/>
        <w:jc w:val="both"/>
        <w:rPr>
          <w:rFonts w:ascii="Times New Roman" w:hAnsi="Times New Roman" w:cs="Times New Roman"/>
          <w:sz w:val="24"/>
          <w:szCs w:val="24"/>
        </w:rPr>
      </w:pPr>
    </w:p>
    <w:p w:rsidR="00A5514A" w:rsidRDefault="00A5514A" w:rsidP="00A5514A">
      <w:pPr>
        <w:spacing w:line="360" w:lineRule="auto"/>
        <w:jc w:val="both"/>
        <w:rPr>
          <w:rFonts w:ascii="Times New Roman" w:hAnsi="Times New Roman" w:cs="Times New Roman"/>
          <w:b/>
          <w:bCs/>
          <w:sz w:val="24"/>
          <w:szCs w:val="24"/>
        </w:rPr>
      </w:pPr>
    </w:p>
    <w:p w:rsidR="00BE6861" w:rsidRDefault="00BE6861">
      <w:pPr>
        <w:rPr>
          <w:lang w:bidi="ar-DZ"/>
        </w:rPr>
      </w:pPr>
      <w:r>
        <w:rPr>
          <w:lang w:bidi="ar-DZ"/>
        </w:rPr>
        <w:br w:type="page"/>
      </w:r>
    </w:p>
    <w:p w:rsidR="00BE6861" w:rsidRPr="00BE6861" w:rsidRDefault="00BE6861" w:rsidP="00BE6861">
      <w:pPr>
        <w:spacing w:after="0" w:line="360" w:lineRule="auto"/>
        <w:jc w:val="center"/>
        <w:rPr>
          <w:rFonts w:ascii="Times New Roman" w:hAnsi="Times New Roman" w:cs="Times New Roman"/>
          <w:b/>
          <w:bCs/>
          <w:sz w:val="24"/>
          <w:szCs w:val="24"/>
        </w:rPr>
      </w:pPr>
      <w:bookmarkStart w:id="0" w:name="_GoBack"/>
      <w:bookmarkEnd w:id="0"/>
      <w:r w:rsidRPr="00BE6861">
        <w:rPr>
          <w:rFonts w:ascii="Times New Roman" w:hAnsi="Times New Roman" w:cs="Times New Roman"/>
          <w:b/>
          <w:bCs/>
          <w:sz w:val="24"/>
          <w:szCs w:val="24"/>
        </w:rPr>
        <w:lastRenderedPageBreak/>
        <w:t>ANNEXE 2</w:t>
      </w:r>
    </w:p>
    <w:p w:rsidR="00BE6861" w:rsidRPr="00BE6861" w:rsidRDefault="00BE6861" w:rsidP="00BE6861">
      <w:pPr>
        <w:spacing w:after="0" w:line="360" w:lineRule="auto"/>
        <w:rPr>
          <w:rFonts w:ascii="Times New Roman" w:hAnsi="Times New Roman" w:cs="Times New Roman"/>
          <w:b/>
          <w:bCs/>
          <w:sz w:val="24"/>
          <w:szCs w:val="24"/>
        </w:rPr>
      </w:pP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Tableau 1:</w:t>
      </w:r>
      <w:r w:rsidRPr="00BE6861">
        <w:rPr>
          <w:rFonts w:ascii="Times New Roman" w:hAnsi="Times New Roman" w:cs="Times New Roman"/>
          <w:b/>
          <w:bCs/>
          <w:sz w:val="24"/>
          <w:szCs w:val="24"/>
        </w:rPr>
        <w:t xml:space="preserve"> Nombre  d’aréoles donnant des racines</w:t>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noProof/>
          <w:sz w:val="24"/>
          <w:szCs w:val="24"/>
          <w:lang w:eastAsia="fr-FR"/>
        </w:rPr>
        <w:drawing>
          <wp:inline distT="0" distB="0" distL="0" distR="0">
            <wp:extent cx="5760720" cy="940792"/>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940792"/>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 xml:space="preserve">Tableau 2: </w:t>
      </w:r>
      <w:r w:rsidRPr="00BE6861">
        <w:rPr>
          <w:rFonts w:ascii="Times New Roman" w:hAnsi="Times New Roman" w:cs="Times New Roman"/>
          <w:b/>
          <w:bCs/>
          <w:sz w:val="24"/>
          <w:szCs w:val="24"/>
        </w:rPr>
        <w:t>Longueur de la racine la plus longue</w:t>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noProof/>
          <w:sz w:val="24"/>
          <w:szCs w:val="24"/>
          <w:lang w:eastAsia="fr-FR"/>
        </w:rPr>
        <w:drawing>
          <wp:inline distT="0" distB="0" distL="0" distR="0">
            <wp:extent cx="5760720" cy="940792"/>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940792"/>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 xml:space="preserve">Tableau 3: </w:t>
      </w:r>
      <w:r w:rsidRPr="00BE6861">
        <w:rPr>
          <w:rFonts w:ascii="Times New Roman" w:hAnsi="Times New Roman" w:cs="Times New Roman"/>
          <w:b/>
          <w:bCs/>
          <w:sz w:val="24"/>
          <w:szCs w:val="24"/>
        </w:rPr>
        <w:t>Poids frais racinaire</w:t>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noProof/>
          <w:sz w:val="24"/>
          <w:szCs w:val="24"/>
          <w:lang w:eastAsia="fr-FR"/>
        </w:rPr>
        <w:drawing>
          <wp:inline distT="0" distB="0" distL="0" distR="0">
            <wp:extent cx="5760720" cy="94079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940792"/>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 xml:space="preserve">Tableau 4: Poids frais des nouvelles raquettes </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Tableau 5: Longueur des nouvelles raquettes</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Tableau 6: Epaisseur des nouvelles raquettes</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F31C7B" w:rsidRDefault="00F31C7B" w:rsidP="00BE6861">
      <w:pPr>
        <w:spacing w:line="240" w:lineRule="auto"/>
        <w:rPr>
          <w:rFonts w:ascii="Times New Roman" w:hAnsi="Times New Roman" w:cs="Times New Roman"/>
          <w:b/>
          <w:bCs/>
          <w:sz w:val="24"/>
          <w:szCs w:val="24"/>
          <w:lang w:bidi="ar-DZ"/>
        </w:rPr>
      </w:pPr>
    </w:p>
    <w:p w:rsidR="00F31C7B" w:rsidRDefault="00F31C7B" w:rsidP="00BE6861">
      <w:pPr>
        <w:spacing w:line="240" w:lineRule="auto"/>
        <w:rPr>
          <w:rFonts w:ascii="Times New Roman" w:hAnsi="Times New Roman" w:cs="Times New Roman"/>
          <w:b/>
          <w:bCs/>
          <w:sz w:val="24"/>
          <w:szCs w:val="24"/>
          <w:lang w:bidi="ar-DZ"/>
        </w:rPr>
      </w:pPr>
    </w:p>
    <w:p w:rsidR="00F31C7B" w:rsidRDefault="00F31C7B" w:rsidP="00BE6861">
      <w:pPr>
        <w:spacing w:line="240" w:lineRule="auto"/>
        <w:rPr>
          <w:rFonts w:ascii="Times New Roman" w:hAnsi="Times New Roman" w:cs="Times New Roman"/>
          <w:b/>
          <w:bCs/>
          <w:sz w:val="24"/>
          <w:szCs w:val="24"/>
          <w:lang w:bidi="ar-DZ"/>
        </w:rPr>
      </w:pP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lastRenderedPageBreak/>
        <w:t>Tableau 7: Teneurs en proline au niveau de racine</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940792"/>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940792"/>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Tableau 8: Teneurs en proline au niveau des nouvelles raquettes</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Tableau 9: Teneurs en sucre soluble au niveau des nouvelles raquettes</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Tableau 10: Teneurs en sucre soluble au niveau des racines</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Tableau 11: Teneurs en chlorophylle au niveau des nouvelles raquettes</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Tableau 12: Teneurs en Na</w:t>
      </w:r>
      <w:r w:rsidRPr="00BE6861">
        <w:rPr>
          <w:rFonts w:ascii="Times New Roman" w:hAnsi="Times New Roman" w:cs="Times New Roman"/>
          <w:b/>
          <w:bCs/>
          <w:sz w:val="24"/>
          <w:szCs w:val="24"/>
          <w:vertAlign w:val="superscript"/>
          <w:lang w:bidi="ar-DZ"/>
        </w:rPr>
        <w:t>+</w:t>
      </w:r>
      <w:r w:rsidRPr="00BE6861">
        <w:rPr>
          <w:rFonts w:ascii="Times New Roman" w:hAnsi="Times New Roman" w:cs="Times New Roman"/>
          <w:b/>
          <w:bCs/>
          <w:sz w:val="24"/>
          <w:szCs w:val="24"/>
          <w:lang w:bidi="ar-DZ"/>
        </w:rPr>
        <w:t xml:space="preserve"> au niveau de racine</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Tableau 13: Teneurs en Na</w:t>
      </w:r>
      <w:r w:rsidRPr="00BE6861">
        <w:rPr>
          <w:rFonts w:ascii="Times New Roman" w:hAnsi="Times New Roman" w:cs="Times New Roman"/>
          <w:b/>
          <w:bCs/>
          <w:sz w:val="24"/>
          <w:szCs w:val="24"/>
          <w:vertAlign w:val="superscript"/>
          <w:lang w:bidi="ar-DZ"/>
        </w:rPr>
        <w:t>+</w:t>
      </w:r>
      <w:r w:rsidRPr="00BE6861">
        <w:rPr>
          <w:rFonts w:ascii="Times New Roman" w:hAnsi="Times New Roman" w:cs="Times New Roman"/>
          <w:b/>
          <w:bCs/>
          <w:sz w:val="24"/>
          <w:szCs w:val="24"/>
          <w:lang w:bidi="ar-DZ"/>
        </w:rPr>
        <w:t xml:space="preserve"> au niveau de nouvelles raquettes</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t xml:space="preserve">Tableau 14: Teneurs en </w:t>
      </w:r>
      <w:r w:rsidR="00654EE5">
        <w:rPr>
          <w:rFonts w:ascii="Times New Roman" w:hAnsi="Times New Roman" w:cs="Times New Roman"/>
          <w:b/>
          <w:bCs/>
          <w:sz w:val="24"/>
          <w:szCs w:val="24"/>
          <w:lang w:bidi="ar-DZ"/>
        </w:rPr>
        <w:t>K</w:t>
      </w:r>
      <w:r w:rsidRPr="00BE6861">
        <w:rPr>
          <w:rFonts w:ascii="Times New Roman" w:hAnsi="Times New Roman" w:cs="Times New Roman"/>
          <w:b/>
          <w:bCs/>
          <w:sz w:val="24"/>
          <w:szCs w:val="24"/>
          <w:vertAlign w:val="superscript"/>
          <w:lang w:bidi="ar-DZ"/>
        </w:rPr>
        <w:t>+</w:t>
      </w:r>
      <w:r w:rsidRPr="00BE6861">
        <w:rPr>
          <w:rFonts w:ascii="Times New Roman" w:hAnsi="Times New Roman" w:cs="Times New Roman"/>
          <w:b/>
          <w:bCs/>
          <w:sz w:val="24"/>
          <w:szCs w:val="24"/>
          <w:lang w:bidi="ar-DZ"/>
        </w:rPr>
        <w:t xml:space="preserve"> au niveau de racine</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BE6861" w:rsidRPr="00BE6861" w:rsidRDefault="00BE6861" w:rsidP="00BE6861">
      <w:pPr>
        <w:spacing w:line="240" w:lineRule="auto"/>
        <w:rPr>
          <w:rFonts w:ascii="Times New Roman" w:hAnsi="Times New Roman" w:cs="Times New Roman"/>
          <w:b/>
          <w:bCs/>
          <w:sz w:val="24"/>
          <w:szCs w:val="24"/>
          <w:lang w:bidi="ar-DZ"/>
        </w:rPr>
      </w:pPr>
      <w:r w:rsidRPr="00BE6861">
        <w:rPr>
          <w:rFonts w:ascii="Times New Roman" w:hAnsi="Times New Roman" w:cs="Times New Roman"/>
          <w:b/>
          <w:bCs/>
          <w:sz w:val="24"/>
          <w:szCs w:val="24"/>
          <w:lang w:bidi="ar-DZ"/>
        </w:rPr>
        <w:lastRenderedPageBreak/>
        <w:t>Tableau 15: Teneurs en K</w:t>
      </w:r>
      <w:r w:rsidRPr="00BE6861">
        <w:rPr>
          <w:rFonts w:ascii="Times New Roman" w:hAnsi="Times New Roman" w:cs="Times New Roman"/>
          <w:b/>
          <w:bCs/>
          <w:sz w:val="24"/>
          <w:szCs w:val="24"/>
          <w:vertAlign w:val="superscript"/>
          <w:lang w:bidi="ar-DZ"/>
        </w:rPr>
        <w:t>+</w:t>
      </w:r>
      <w:r w:rsidRPr="00BE6861">
        <w:rPr>
          <w:rFonts w:ascii="Times New Roman" w:hAnsi="Times New Roman" w:cs="Times New Roman"/>
          <w:b/>
          <w:bCs/>
          <w:sz w:val="24"/>
          <w:szCs w:val="24"/>
          <w:lang w:bidi="ar-DZ"/>
        </w:rPr>
        <w:t xml:space="preserve"> au niveau de nouvelles raquettes</w:t>
      </w:r>
    </w:p>
    <w:p w:rsidR="00BE6861" w:rsidRPr="00BE6861" w:rsidRDefault="00BE6861" w:rsidP="00BE6861">
      <w:pPr>
        <w:spacing w:line="240" w:lineRule="auto"/>
        <w:rPr>
          <w:rFonts w:ascii="Times New Roman" w:hAnsi="Times New Roman" w:cs="Times New Roman"/>
          <w:b/>
          <w:bCs/>
          <w:sz w:val="24"/>
          <w:szCs w:val="24"/>
          <w:lang w:bidi="ar-DZ"/>
        </w:rPr>
      </w:pPr>
      <w:r w:rsidRPr="00BE6861">
        <w:rPr>
          <w:noProof/>
          <w:lang w:eastAsia="fr-FR"/>
        </w:rPr>
        <w:drawing>
          <wp:inline distT="0" distB="0" distL="0" distR="0">
            <wp:extent cx="5760720" cy="627195"/>
            <wp:effectExtent l="0" t="0" r="0" b="190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27195"/>
                    </a:xfrm>
                    <a:prstGeom prst="rect">
                      <a:avLst/>
                    </a:prstGeom>
                    <a:noFill/>
                    <a:ln>
                      <a:noFill/>
                    </a:ln>
                  </pic:spPr>
                </pic:pic>
              </a:graphicData>
            </a:graphic>
          </wp:inline>
        </w:drawing>
      </w:r>
    </w:p>
    <w:p w:rsidR="00D42164" w:rsidRPr="00A5514A" w:rsidRDefault="00006C64" w:rsidP="00A5514A">
      <w:pPr>
        <w:rPr>
          <w:lang w:bidi="ar-DZ"/>
        </w:rPr>
      </w:pPr>
    </w:p>
    <w:sectPr w:rsidR="00D42164" w:rsidRPr="00A5514A" w:rsidSect="00112A1A">
      <w:pgSz w:w="11906" w:h="16838"/>
      <w:pgMar w:top="1417" w:right="1417" w:bottom="1417" w:left="1417"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A5514A"/>
    <w:rsid w:val="00002683"/>
    <w:rsid w:val="00006C64"/>
    <w:rsid w:val="000356AD"/>
    <w:rsid w:val="000A7500"/>
    <w:rsid w:val="000E788E"/>
    <w:rsid w:val="000F2445"/>
    <w:rsid w:val="00112A1A"/>
    <w:rsid w:val="00330318"/>
    <w:rsid w:val="003D1E1C"/>
    <w:rsid w:val="0040597C"/>
    <w:rsid w:val="004247F3"/>
    <w:rsid w:val="0045653F"/>
    <w:rsid w:val="00577688"/>
    <w:rsid w:val="00622585"/>
    <w:rsid w:val="00654EE5"/>
    <w:rsid w:val="007D0B4E"/>
    <w:rsid w:val="007E1213"/>
    <w:rsid w:val="00A5514A"/>
    <w:rsid w:val="00B108D3"/>
    <w:rsid w:val="00B74E30"/>
    <w:rsid w:val="00BE6861"/>
    <w:rsid w:val="00C82A16"/>
    <w:rsid w:val="00D224D8"/>
    <w:rsid w:val="00D8104A"/>
    <w:rsid w:val="00E666BB"/>
    <w:rsid w:val="00F153C9"/>
    <w:rsid w:val="00F31C7B"/>
    <w:rsid w:val="00F73E7D"/>
    <w:rsid w:val="00F93070"/>
    <w:rsid w:val="00FC3B4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14A"/>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551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5514A"/>
    <w:rPr>
      <w:rFonts w:ascii="Tahoma" w:hAnsi="Tahoma" w:cs="Tahoma"/>
      <w:sz w:val="16"/>
      <w:szCs w:val="16"/>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14A"/>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551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5514A"/>
    <w:rPr>
      <w:rFonts w:ascii="Tahoma" w:hAnsi="Tahoma" w:cs="Tahoma"/>
      <w:sz w:val="16"/>
      <w:szCs w:val="16"/>
      <w:lang w:val="fr-F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webSettings" Target="webSettings.xml"/><Relationship Id="rId21" Type="http://schemas.openxmlformats.org/officeDocument/2006/relationships/image" Target="media/image14.emf"/><Relationship Id="rId7" Type="http://schemas.openxmlformats.org/officeDocument/2006/relationships/chart" Target="charts/chart4.xml"/><Relationship Id="rId12" Type="http://schemas.openxmlformats.org/officeDocument/2006/relationships/image" Target="media/image5.emf"/><Relationship Id="rId17" Type="http://schemas.openxmlformats.org/officeDocument/2006/relationships/image" Target="media/image10.emf"/><Relationship Id="rId25"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styles" Target="styles.xml"/><Relationship Id="rId6" Type="http://schemas.openxmlformats.org/officeDocument/2006/relationships/chart" Target="charts/chart3.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chart" Target="charts/chart2.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chart" Target="charts/chart1.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charts/_rels/chart1.xml.rels><?xml version="1.0" encoding="UTF-8" standalone="yes"?>
<Relationships xmlns="http://schemas.openxmlformats.org/package/2006/relationships"><Relationship Id="rId1" Type="http://schemas.openxmlformats.org/officeDocument/2006/relationships/oleObject" Target="file:///G:\Classeur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Classeur1.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gigahertz\Bureau\MINiRAUX%20K.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gigahertz\Bureau\MINiRAUX%20N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sz="1400"/>
            </a:pPr>
            <a:r>
              <a:rPr lang="fr-FR" sz="1400"/>
              <a:t>La courbe d'étalonnage de proline</a:t>
            </a:r>
          </a:p>
        </c:rich>
      </c:tx>
    </c:title>
    <c:plotArea>
      <c:layout>
        <c:manualLayout>
          <c:layoutTarget val="inner"/>
          <c:xMode val="edge"/>
          <c:yMode val="edge"/>
          <c:x val="8.050096477122097E-2"/>
          <c:y val="9.3190290344598997E-2"/>
          <c:w val="0.87835497117041761"/>
          <c:h val="0.74552232275678609"/>
        </c:manualLayout>
      </c:layout>
      <c:scatterChart>
        <c:scatterStyle val="lineMarker"/>
        <c:ser>
          <c:idx val="0"/>
          <c:order val="0"/>
          <c:spPr>
            <a:ln w="28575">
              <a:noFill/>
            </a:ln>
          </c:spPr>
          <c:marker>
            <c:symbol val="diamond"/>
            <c:size val="5"/>
            <c:spPr>
              <a:solidFill>
                <a:srgbClr val="000080"/>
              </a:solidFill>
              <a:ln>
                <a:solidFill>
                  <a:srgbClr val="000080"/>
                </a:solidFill>
                <a:prstDash val="solid"/>
              </a:ln>
            </c:spPr>
          </c:marker>
          <c:trendline>
            <c:spPr>
              <a:ln w="25400">
                <a:solidFill>
                  <a:srgbClr val="000000"/>
                </a:solidFill>
                <a:prstDash val="solid"/>
              </a:ln>
            </c:spPr>
            <c:trendlineType val="linear"/>
            <c:dispRSqr val="1"/>
            <c:dispEq val="1"/>
            <c:trendlineLbl>
              <c:layout>
                <c:manualLayout>
                  <c:x val="4.9290348468545825E-2"/>
                  <c:y val="0.37915325676452977"/>
                </c:manualLayout>
              </c:layout>
              <c:numFmt formatCode="General" sourceLinked="0"/>
              <c:spPr>
                <a:noFill/>
                <a:ln w="25400">
                  <a:noFill/>
                </a:ln>
              </c:spPr>
            </c:trendlineLbl>
          </c:trendline>
          <c:xVal>
            <c:numRef>
              <c:f>Feuil1!$C$9:$L$9</c:f>
              <c:numCache>
                <c:formatCode>General</c:formatCode>
                <c:ptCount val="10"/>
                <c:pt idx="0">
                  <c:v>0</c:v>
                </c:pt>
                <c:pt idx="1">
                  <c:v>2</c:v>
                </c:pt>
                <c:pt idx="2">
                  <c:v>4</c:v>
                </c:pt>
                <c:pt idx="3">
                  <c:v>6</c:v>
                </c:pt>
                <c:pt idx="4">
                  <c:v>8</c:v>
                </c:pt>
                <c:pt idx="5">
                  <c:v>10</c:v>
                </c:pt>
                <c:pt idx="6">
                  <c:v>12</c:v>
                </c:pt>
                <c:pt idx="7">
                  <c:v>14</c:v>
                </c:pt>
                <c:pt idx="8">
                  <c:v>16</c:v>
                </c:pt>
                <c:pt idx="9">
                  <c:v>18</c:v>
                </c:pt>
              </c:numCache>
            </c:numRef>
          </c:xVal>
          <c:yVal>
            <c:numRef>
              <c:f>Feuil1!$C$10:$L$10</c:f>
              <c:numCache>
                <c:formatCode>General</c:formatCode>
                <c:ptCount val="10"/>
                <c:pt idx="0">
                  <c:v>0</c:v>
                </c:pt>
                <c:pt idx="1">
                  <c:v>0.23100000000000001</c:v>
                </c:pt>
                <c:pt idx="2">
                  <c:v>0.34400000000000136</c:v>
                </c:pt>
                <c:pt idx="3">
                  <c:v>0.40100000000000002</c:v>
                </c:pt>
                <c:pt idx="4">
                  <c:v>0.47000000000000008</c:v>
                </c:pt>
                <c:pt idx="5">
                  <c:v>0.49200000000000038</c:v>
                </c:pt>
                <c:pt idx="6">
                  <c:v>0.61400000000000265</c:v>
                </c:pt>
                <c:pt idx="7">
                  <c:v>0.79300000000000004</c:v>
                </c:pt>
                <c:pt idx="8">
                  <c:v>0.83200000000000063</c:v>
                </c:pt>
                <c:pt idx="9">
                  <c:v>0.95900000000000063</c:v>
                </c:pt>
              </c:numCache>
            </c:numRef>
          </c:yVal>
        </c:ser>
        <c:axId val="70709632"/>
        <c:axId val="70712704"/>
      </c:scatterChart>
      <c:valAx>
        <c:axId val="70709632"/>
        <c:scaling>
          <c:orientation val="minMax"/>
        </c:scaling>
        <c:axPos val="b"/>
        <c:numFmt formatCode="General" sourceLinked="1"/>
        <c:tickLblPos val="nextTo"/>
        <c:spPr>
          <a:ln w="3175">
            <a:solidFill>
              <a:srgbClr val="000000"/>
            </a:solidFill>
            <a:prstDash val="solid"/>
          </a:ln>
        </c:spPr>
        <c:txPr>
          <a:bodyPr rot="0" vert="horz"/>
          <a:lstStyle/>
          <a:p>
            <a:pPr>
              <a:defRPr/>
            </a:pPr>
            <a:endParaRPr lang="fr-FR"/>
          </a:p>
        </c:txPr>
        <c:crossAx val="70712704"/>
        <c:crosses val="autoZero"/>
        <c:crossBetween val="midCat"/>
      </c:valAx>
      <c:valAx>
        <c:axId val="70712704"/>
        <c:scaling>
          <c:orientation val="minMax"/>
        </c:scaling>
        <c:axPos val="l"/>
        <c:numFmt formatCode="General" sourceLinked="1"/>
        <c:tickLblPos val="nextTo"/>
        <c:spPr>
          <a:ln w="3175">
            <a:solidFill>
              <a:srgbClr val="000000"/>
            </a:solidFill>
            <a:prstDash val="solid"/>
          </a:ln>
        </c:spPr>
        <c:txPr>
          <a:bodyPr rot="0" vert="horz"/>
          <a:lstStyle/>
          <a:p>
            <a:pPr>
              <a:defRPr/>
            </a:pPr>
            <a:endParaRPr lang="fr-FR"/>
          </a:p>
        </c:txPr>
        <c:crossAx val="70709632"/>
        <c:crosses val="autoZero"/>
        <c:crossBetween val="midCat"/>
      </c:valAx>
      <c:spPr>
        <a:solidFill>
          <a:schemeClr val="bg1"/>
        </a:solidFill>
        <a:ln w="12700">
          <a:solidFill>
            <a:srgbClr val="808080"/>
          </a:solidFill>
          <a:prstDash val="solid"/>
        </a:ln>
      </c:spPr>
    </c:plotArea>
    <c:plotVisOnly val="1"/>
    <c:dispBlanksAs val="gap"/>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sz="1400"/>
            </a:pPr>
            <a:r>
              <a:rPr lang="en-US" sz="1400"/>
              <a:t>La courbe étalon du dosage des sucres solubles</a:t>
            </a:r>
          </a:p>
        </c:rich>
      </c:tx>
    </c:title>
    <c:plotArea>
      <c:layout>
        <c:manualLayout>
          <c:layoutTarget val="inner"/>
          <c:xMode val="edge"/>
          <c:yMode val="edge"/>
          <c:x val="0.3078095548937213"/>
          <c:y val="0.23663767319782741"/>
          <c:w val="0.65395219379960923"/>
          <c:h val="0.65736769822376862"/>
        </c:manualLayout>
      </c:layout>
      <c:scatterChart>
        <c:scatterStyle val="lineMarker"/>
        <c:ser>
          <c:idx val="0"/>
          <c:order val="0"/>
          <c:spPr>
            <a:ln w="28575">
              <a:noFill/>
            </a:ln>
          </c:spPr>
          <c:trendline>
            <c:trendlineType val="linear"/>
            <c:intercept val="0"/>
            <c:dispRSqr val="1"/>
            <c:trendlineLbl>
              <c:numFmt formatCode="General" sourceLinked="0"/>
            </c:trendlineLbl>
          </c:trendline>
          <c:trendline>
            <c:spPr>
              <a:ln w="9525" cap="flat" cmpd="sng" algn="ctr">
                <a:solidFill>
                  <a:schemeClr val="dk1">
                    <a:shade val="95000"/>
                    <a:satMod val="105000"/>
                  </a:schemeClr>
                </a:solidFill>
                <a:prstDash val="solid"/>
              </a:ln>
              <a:effectLst/>
            </c:spPr>
            <c:trendlineType val="linear"/>
            <c:intercept val="0"/>
            <c:dispEq val="1"/>
            <c:trendlineLbl>
              <c:layout>
                <c:manualLayout>
                  <c:x val="0.13444031931241929"/>
                  <c:y val="-6.8495391564426591E-2"/>
                </c:manualLayout>
              </c:layout>
              <c:numFmt formatCode="General" sourceLinked="0"/>
            </c:trendlineLbl>
          </c:trendline>
          <c:xVal>
            <c:numRef>
              <c:f>Feuil1!$A$3:$I$3</c:f>
              <c:numCache>
                <c:formatCode>General</c:formatCode>
                <c:ptCount val="9"/>
                <c:pt idx="0">
                  <c:v>80</c:v>
                </c:pt>
                <c:pt idx="1">
                  <c:v>70</c:v>
                </c:pt>
                <c:pt idx="2">
                  <c:v>60</c:v>
                </c:pt>
                <c:pt idx="3">
                  <c:v>50</c:v>
                </c:pt>
                <c:pt idx="4">
                  <c:v>40</c:v>
                </c:pt>
                <c:pt idx="5">
                  <c:v>30</c:v>
                </c:pt>
                <c:pt idx="6">
                  <c:v>20</c:v>
                </c:pt>
                <c:pt idx="7">
                  <c:v>0</c:v>
                </c:pt>
              </c:numCache>
            </c:numRef>
          </c:xVal>
          <c:yVal>
            <c:numRef>
              <c:f>Feuil1!$A$4:$I$4</c:f>
              <c:numCache>
                <c:formatCode>General</c:formatCode>
                <c:ptCount val="9"/>
                <c:pt idx="0">
                  <c:v>0.92300000000000004</c:v>
                </c:pt>
                <c:pt idx="1">
                  <c:v>0.80400000000000005</c:v>
                </c:pt>
                <c:pt idx="2">
                  <c:v>0.79900000000000004</c:v>
                </c:pt>
                <c:pt idx="3">
                  <c:v>0.67700000000000571</c:v>
                </c:pt>
                <c:pt idx="4">
                  <c:v>0.53700000000000003</c:v>
                </c:pt>
                <c:pt idx="5">
                  <c:v>0.41500000000000031</c:v>
                </c:pt>
                <c:pt idx="6">
                  <c:v>0.22000000000000003</c:v>
                </c:pt>
                <c:pt idx="7">
                  <c:v>0</c:v>
                </c:pt>
              </c:numCache>
            </c:numRef>
          </c:yVal>
        </c:ser>
        <c:axId val="70842240"/>
        <c:axId val="70843776"/>
      </c:scatterChart>
      <c:valAx>
        <c:axId val="70842240"/>
        <c:scaling>
          <c:orientation val="minMax"/>
        </c:scaling>
        <c:axPos val="b"/>
        <c:numFmt formatCode="General" sourceLinked="1"/>
        <c:tickLblPos val="nextTo"/>
        <c:crossAx val="70843776"/>
        <c:crosses val="autoZero"/>
        <c:crossBetween val="midCat"/>
      </c:valAx>
      <c:valAx>
        <c:axId val="70843776"/>
        <c:scaling>
          <c:orientation val="minMax"/>
        </c:scaling>
        <c:axPos val="l"/>
        <c:numFmt formatCode="General" sourceLinked="1"/>
        <c:tickLblPos val="nextTo"/>
        <c:crossAx val="70842240"/>
        <c:crosses val="autoZero"/>
        <c:crossBetween val="midCat"/>
      </c:valAx>
    </c:plotArea>
    <c:plotVisOnly val="1"/>
    <c:dispBlanksAs val="gap"/>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ar-DZ" sz="1400">
                <a:latin typeface="+mn-lt"/>
              </a:defRPr>
            </a:pPr>
            <a:r>
              <a:rPr lang="fr-FR" sz="1400">
                <a:latin typeface="+mn-lt"/>
              </a:rPr>
              <a:t>La</a:t>
            </a:r>
            <a:r>
              <a:rPr lang="fr-FR" sz="1400" baseline="0">
                <a:latin typeface="+mn-lt"/>
              </a:rPr>
              <a:t> </a:t>
            </a:r>
            <a:r>
              <a:rPr lang="fr-FR" sz="1400">
                <a:latin typeface="+mn-lt"/>
              </a:rPr>
              <a:t>courbe d'étalon du potassium</a:t>
            </a:r>
          </a:p>
        </c:rich>
      </c:tx>
    </c:title>
    <c:plotArea>
      <c:layout/>
      <c:scatterChart>
        <c:scatterStyle val="lineMarker"/>
        <c:ser>
          <c:idx val="0"/>
          <c:order val="0"/>
          <c:spPr>
            <a:ln w="28575">
              <a:noFill/>
            </a:ln>
          </c:spPr>
          <c:trendline>
            <c:trendlineType val="linear"/>
            <c:dispRSqr val="1"/>
            <c:dispEq val="1"/>
            <c:trendlineLbl>
              <c:layout>
                <c:manualLayout>
                  <c:x val="0.22575503062117241"/>
                  <c:y val="7.7504009915427316E-2"/>
                </c:manualLayout>
              </c:layout>
              <c:tx>
                <c:rich>
                  <a:bodyPr/>
                  <a:lstStyle/>
                  <a:p>
                    <a:pPr>
                      <a:defRPr lang="ar-DZ"/>
                    </a:pPr>
                    <a:r>
                      <a:rPr lang="fr-FR" baseline="0"/>
                      <a:t>y=0,012X+0,007</a:t>
                    </a:r>
                    <a:r>
                      <a:rPr baseline="0"/>
                      <a:t>
R² = 0,999</a:t>
                    </a:r>
                    <a:endParaRPr/>
                  </a:p>
                </c:rich>
              </c:tx>
              <c:numFmt formatCode="General" sourceLinked="0"/>
            </c:trendlineLbl>
          </c:trendline>
          <c:xVal>
            <c:numRef>
              <c:f>Feuil1!$A$1:$G$1</c:f>
              <c:numCache>
                <c:formatCode>General</c:formatCode>
                <c:ptCount val="7"/>
                <c:pt idx="0">
                  <c:v>0</c:v>
                </c:pt>
                <c:pt idx="1">
                  <c:v>5</c:v>
                </c:pt>
                <c:pt idx="2">
                  <c:v>10</c:v>
                </c:pt>
                <c:pt idx="3">
                  <c:v>20</c:v>
                </c:pt>
                <c:pt idx="4">
                  <c:v>40</c:v>
                </c:pt>
                <c:pt idx="5">
                  <c:v>60</c:v>
                </c:pt>
                <c:pt idx="6">
                  <c:v>80</c:v>
                </c:pt>
              </c:numCache>
            </c:numRef>
          </c:xVal>
          <c:yVal>
            <c:numRef>
              <c:f>Feuil1!$A$2:$G$2</c:f>
              <c:numCache>
                <c:formatCode>General</c:formatCode>
                <c:ptCount val="7"/>
                <c:pt idx="0">
                  <c:v>0</c:v>
                </c:pt>
                <c:pt idx="1">
                  <c:v>7.0000000000000021E-2</c:v>
                </c:pt>
                <c:pt idx="2">
                  <c:v>0.13</c:v>
                </c:pt>
                <c:pt idx="3">
                  <c:v>0.26</c:v>
                </c:pt>
                <c:pt idx="4">
                  <c:v>0.52</c:v>
                </c:pt>
                <c:pt idx="5">
                  <c:v>0.75000000000000311</c:v>
                </c:pt>
                <c:pt idx="6">
                  <c:v>1</c:v>
                </c:pt>
              </c:numCache>
            </c:numRef>
          </c:yVal>
        </c:ser>
        <c:axId val="71410048"/>
        <c:axId val="71411968"/>
      </c:scatterChart>
      <c:valAx>
        <c:axId val="71410048"/>
        <c:scaling>
          <c:orientation val="minMax"/>
        </c:scaling>
        <c:axPos val="b"/>
        <c:numFmt formatCode="General" sourceLinked="1"/>
        <c:tickLblPos val="nextTo"/>
        <c:txPr>
          <a:bodyPr/>
          <a:lstStyle/>
          <a:p>
            <a:pPr>
              <a:defRPr lang="ar-DZ"/>
            </a:pPr>
            <a:endParaRPr lang="fr-FR"/>
          </a:p>
        </c:txPr>
        <c:crossAx val="71411968"/>
        <c:crosses val="autoZero"/>
        <c:crossBetween val="midCat"/>
      </c:valAx>
      <c:valAx>
        <c:axId val="71411968"/>
        <c:scaling>
          <c:orientation val="minMax"/>
        </c:scaling>
        <c:axPos val="l"/>
        <c:numFmt formatCode="General" sourceLinked="1"/>
        <c:tickLblPos val="nextTo"/>
        <c:txPr>
          <a:bodyPr/>
          <a:lstStyle/>
          <a:p>
            <a:pPr>
              <a:defRPr lang="ar-DZ"/>
            </a:pPr>
            <a:endParaRPr lang="fr-FR"/>
          </a:p>
        </c:txPr>
        <c:crossAx val="71410048"/>
        <c:crosses val="autoZero"/>
        <c:crossBetween val="midCat"/>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sz="1400"/>
            </a:pPr>
            <a:r>
              <a:rPr lang="fr-FR" sz="1400"/>
              <a:t>La courbe  d'étalon du sodium</a:t>
            </a:r>
          </a:p>
        </c:rich>
      </c:tx>
    </c:title>
    <c:plotArea>
      <c:layout/>
      <c:scatterChart>
        <c:scatterStyle val="lineMarker"/>
        <c:ser>
          <c:idx val="0"/>
          <c:order val="0"/>
          <c:spPr>
            <a:ln w="28575">
              <a:noFill/>
            </a:ln>
          </c:spPr>
          <c:trendline>
            <c:trendlineType val="linear"/>
            <c:dispRSqr val="1"/>
            <c:dispEq val="1"/>
            <c:trendlineLbl>
              <c:layout>
                <c:manualLayout>
                  <c:x val="0.27261351706036746"/>
                  <c:y val="1.8888888888888917E-2"/>
                </c:manualLayout>
              </c:layout>
              <c:tx>
                <c:rich>
                  <a:bodyPr/>
                  <a:lstStyle/>
                  <a:p>
                    <a:pPr>
                      <a:defRPr/>
                    </a:pPr>
                    <a:r>
                      <a:rPr lang="fr-FR"/>
                      <a:t>Y=0,012X+0,028</a:t>
                    </a:r>
                    <a:r>
                      <a:t>
R² = 0,992</a:t>
                    </a:r>
                  </a:p>
                </c:rich>
              </c:tx>
              <c:numFmt formatCode="General" sourceLinked="0"/>
            </c:trendlineLbl>
          </c:trendline>
          <c:xVal>
            <c:numRef>
              <c:f>Feuil1!$A$1:$G$1</c:f>
              <c:numCache>
                <c:formatCode>General</c:formatCode>
                <c:ptCount val="7"/>
                <c:pt idx="0">
                  <c:v>0</c:v>
                </c:pt>
                <c:pt idx="1">
                  <c:v>5</c:v>
                </c:pt>
                <c:pt idx="2">
                  <c:v>10</c:v>
                </c:pt>
                <c:pt idx="3">
                  <c:v>20</c:v>
                </c:pt>
                <c:pt idx="4">
                  <c:v>40</c:v>
                </c:pt>
                <c:pt idx="5">
                  <c:v>60</c:v>
                </c:pt>
                <c:pt idx="6">
                  <c:v>80</c:v>
                </c:pt>
              </c:numCache>
            </c:numRef>
          </c:xVal>
          <c:yVal>
            <c:numRef>
              <c:f>Feuil1!$A$2:$G$2</c:f>
              <c:numCache>
                <c:formatCode>General</c:formatCode>
                <c:ptCount val="7"/>
                <c:pt idx="0">
                  <c:v>0</c:v>
                </c:pt>
                <c:pt idx="1">
                  <c:v>8.0000000000000043E-2</c:v>
                </c:pt>
                <c:pt idx="2">
                  <c:v>0.16</c:v>
                </c:pt>
                <c:pt idx="3">
                  <c:v>0.30000000000000032</c:v>
                </c:pt>
                <c:pt idx="4">
                  <c:v>0.56999999999999995</c:v>
                </c:pt>
                <c:pt idx="5">
                  <c:v>0.84000000000000064</c:v>
                </c:pt>
                <c:pt idx="6">
                  <c:v>1</c:v>
                </c:pt>
              </c:numCache>
            </c:numRef>
          </c:yVal>
        </c:ser>
        <c:axId val="71523328"/>
        <c:axId val="71534080"/>
      </c:scatterChart>
      <c:valAx>
        <c:axId val="71523328"/>
        <c:scaling>
          <c:orientation val="minMax"/>
        </c:scaling>
        <c:axPos val="b"/>
        <c:numFmt formatCode="General" sourceLinked="1"/>
        <c:tickLblPos val="nextTo"/>
        <c:crossAx val="71534080"/>
        <c:crosses val="autoZero"/>
        <c:crossBetween val="midCat"/>
      </c:valAx>
      <c:valAx>
        <c:axId val="71534080"/>
        <c:scaling>
          <c:orientation val="minMax"/>
        </c:scaling>
        <c:axPos val="l"/>
        <c:numFmt formatCode="General" sourceLinked="1"/>
        <c:tickLblPos val="nextTo"/>
        <c:crossAx val="71523328"/>
        <c:crosses val="autoZero"/>
        <c:crossBetween val="midCat"/>
      </c:valAx>
    </c:plotArea>
    <c:plotVisOnly val="1"/>
    <c:dispBlanksAs val="gap"/>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778</Words>
  <Characters>4279</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Gigahertz</cp:lastModifiedBy>
  <cp:revision>22</cp:revision>
  <dcterms:created xsi:type="dcterms:W3CDTF">2015-08-30T14:00:00Z</dcterms:created>
  <dcterms:modified xsi:type="dcterms:W3CDTF">2015-11-13T20:37:00Z</dcterms:modified>
</cp:coreProperties>
</file>